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C33" w:rsidRPr="00981C33" w:rsidRDefault="00981C33" w:rsidP="00981C33">
      <w:pPr>
        <w:tabs>
          <w:tab w:val="left" w:pos="567"/>
        </w:tabs>
        <w:spacing w:line="254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81C33" w:rsidRPr="00981C33" w:rsidRDefault="00981C33" w:rsidP="00981C33">
      <w:pPr>
        <w:tabs>
          <w:tab w:val="left" w:pos="567"/>
        </w:tabs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 ЛЕКЦИЯ. </w:t>
      </w:r>
      <w:r w:rsidRPr="00981C33">
        <w:rPr>
          <w:rFonts w:ascii="Times New Roman" w:hAnsi="Times New Roman"/>
          <w:sz w:val="28"/>
          <w:szCs w:val="28"/>
        </w:rPr>
        <w:t>ИСТОЧНИКИ БЕСПЕРЕБОЙНОГО ПИТАНИЯ (ИБП) В СИСТЕМАХ ГАРАНТИРОВАННОГО ЭЛЕКТРОСНАБЖЕНИЯ МЕДИЦИНСКИХ ПОМЕЩЕНИЙ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Согласно ГОСТ 50571.28-2006 «...Медицинские учреждения необходимо обеспечивать аварийными источниками электропитания, которые позволяли бы поддерживать нормальную работу медицинского оборудования ... в течение заданного периода времени и время приведения в действие которых не превышало бы времени, установленного соответствующими нормами... Если на одном или нескольких линейных проводниках главного распределительного устройства напряжение понизится более чем на 10 % относительно номинального, должна автоматически включаться система аварийного электроснабжения. Переключение электропитания должно происходить с задержкой времени, достаточной для нормального срабатывания коммутационных аппаратов и предотвращения ложных срабатываний».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 зависимости от скорости переключения на источник бесперебойного питания и поддержания нормальной работы оборудования в течение заданного периода времени все системы гарантированного электроснабжения подразделяются: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1. Система с временем переключения менее 0,5 секунд.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Оборудование: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Источник аварийного электропитания должен обеспечить освещение операционных столов и других важных объектов, например эндоскопов.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Время автономного питания - не менее 3 часов.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2. Система со временем переключения менее 15 секунд.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Оборудование: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аварийное освещение;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лифты для передвижения пожарных расчетов;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вентиляционные системы для удаления дыма;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пейджинговая служба;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медицинское оборудование для подачи газа, включающее подачу сжатого воздуха, вакуумные насосы, используемое для анестезии и их управляющие устройства;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системы пожарной сигнализации и пожаротушения.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Время питания - способность поддерживать электропитание в течение 24 часов. Время может быть уменьшено до минимального, равного 3 часам, если специфика медицинского учреждения позволяет в течение этого времени закончить все необходимые процедуры и провести эвакуацию.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3. Система со временем переключения более 15 секунд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lastRenderedPageBreak/>
        <w:t>Оборудование, не упомянутое как подлежащее подключению к более оперативно переключаемым аварийным источникам и используемое для вспомогательных нужд: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стерилизационное оборудование;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- технические службы эксплуатация здания включающие вентиляцию и кондиционирование воздуха, отопительную систему, </w:t>
      </w:r>
      <w:proofErr w:type="spellStart"/>
      <w:r w:rsidRPr="00981C33">
        <w:rPr>
          <w:rFonts w:ascii="Times New Roman" w:hAnsi="Times New Roman"/>
          <w:sz w:val="28"/>
          <w:szCs w:val="28"/>
        </w:rPr>
        <w:t>мусороудаление</w:t>
      </w:r>
      <w:proofErr w:type="spellEnd"/>
      <w:r w:rsidRPr="00981C33">
        <w:rPr>
          <w:rFonts w:ascii="Times New Roman" w:hAnsi="Times New Roman"/>
          <w:sz w:val="28"/>
          <w:szCs w:val="28"/>
        </w:rPr>
        <w:t>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холодильное оборудование;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оборудование для приготовления пищи;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устройства для зарядки аккумуляторов.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Время питания - способность поддерживать электропитание в течение минимум 24 часов, автоматически или вручную.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 случае неисправности основной питающей сети должно быть обеспечено освещение от аварийной сети. Время переключения на аварийное освещение не должно превышать 15 с. Аварийным освещением должны обеспечиваться: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маршруты эвакуации;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- подсветка указателей </w:t>
      </w:r>
      <w:proofErr w:type="gramStart"/>
      <w:r w:rsidRPr="00981C33">
        <w:rPr>
          <w:rFonts w:ascii="Times New Roman" w:hAnsi="Times New Roman"/>
          <w:sz w:val="28"/>
          <w:szCs w:val="28"/>
        </w:rPr>
        <w:t>выхода;;</w:t>
      </w:r>
      <w:proofErr w:type="gramEnd"/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помещения, в которых расположены аварийные электрогенераторы и распределительные устройства основной и аварийной электросети;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помещения для экстренных процедур. В каждом помещении должен быть, по крайней мере, один светильник, подключенный к аварийной сети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помещения Гр1: В каждом помещении должен быть, по крайней мере, один светильник, подключенный к аварийной сети;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помещения Гр2: В этих помещениях не менее 50% светильников должны иметь подключение к аварийной сети.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Необходимо отметить, что источником аварийного электроснабжения, на которой возможно переключение в течение 15 сек могут являться только резервный ввод с другого трансформатора подстанции или источник бесперебойного питания (ИБП). Фактически минимальное время переключения на них не превышает 0,5 сек. В то же время переключение на дизель/</w:t>
      </w:r>
      <w:proofErr w:type="spellStart"/>
      <w:r w:rsidRPr="00981C33">
        <w:rPr>
          <w:rFonts w:ascii="Times New Roman" w:hAnsi="Times New Roman"/>
          <w:sz w:val="28"/>
          <w:szCs w:val="28"/>
        </w:rPr>
        <w:t>бензо</w:t>
      </w:r>
      <w:proofErr w:type="spellEnd"/>
      <w:r w:rsidRPr="00981C33">
        <w:rPr>
          <w:rFonts w:ascii="Times New Roman" w:hAnsi="Times New Roman"/>
          <w:sz w:val="28"/>
          <w:szCs w:val="28"/>
        </w:rPr>
        <w:t>-генератора горячего резерва занимает 60-90 сек т.к. необходим прогрев двигателя на холостых оборотах (опасность глушения).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Время автономной работы (ИБП) определяется емкостью подключенных батарей. При нескольких часах автономной работы и нагрузке в киловаттах суммарный габарит необходимых аккумуляторов представляет существенную величину. Поэтому аккумуляторы располагаются в специальном (аккумуляторном) шкафу, либо на стеллажах в отдельном помещении (с температурой не более 20 градусов). Батареи, применяемые в ИБП - необслуживаемые </w:t>
      </w:r>
      <w:proofErr w:type="spellStart"/>
      <w:r w:rsidRPr="00981C33">
        <w:rPr>
          <w:rFonts w:ascii="Times New Roman" w:hAnsi="Times New Roman"/>
          <w:sz w:val="28"/>
          <w:szCs w:val="28"/>
        </w:rPr>
        <w:t>двенадцативольтовые</w:t>
      </w:r>
      <w:proofErr w:type="spellEnd"/>
      <w:r w:rsidRPr="00981C33">
        <w:rPr>
          <w:rFonts w:ascii="Times New Roman" w:hAnsi="Times New Roman"/>
          <w:sz w:val="28"/>
          <w:szCs w:val="28"/>
        </w:rPr>
        <w:t>. Подключаются последовательно друг к другу.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ИБП преобразует постоянное напряжение системы аккумуляторов в переменное. В зависимости от конструкции ИБП батарейный шкаф (стеллаж) </w:t>
      </w:r>
      <w:r w:rsidRPr="00981C33">
        <w:rPr>
          <w:rFonts w:ascii="Times New Roman" w:hAnsi="Times New Roman"/>
          <w:sz w:val="28"/>
          <w:szCs w:val="28"/>
        </w:rPr>
        <w:lastRenderedPageBreak/>
        <w:t xml:space="preserve">подключаются к ИБП трехжильным кабелем (плюс, минус, земля), либо четырехжильным кабелем (плюс, минус, </w:t>
      </w:r>
      <w:proofErr w:type="spellStart"/>
      <w:r w:rsidRPr="00981C33">
        <w:rPr>
          <w:rFonts w:ascii="Times New Roman" w:hAnsi="Times New Roman"/>
          <w:sz w:val="28"/>
          <w:szCs w:val="28"/>
        </w:rPr>
        <w:t>нейтраль</w:t>
      </w:r>
      <w:proofErr w:type="spellEnd"/>
      <w:r w:rsidRPr="00981C33">
        <w:rPr>
          <w:rFonts w:ascii="Times New Roman" w:hAnsi="Times New Roman"/>
          <w:sz w:val="28"/>
          <w:szCs w:val="28"/>
        </w:rPr>
        <w:t>, земля).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В конструкцию ИБП большинства производителей входят защитные автоматы либо выключатели с плавкими вставками. Также необходимо отметить, что для штатной работы источника требуется подключение защищаемой нагрузки «через ИБП». К сожалению, в проектах периодически встречаются </w:t>
      </w:r>
      <w:proofErr w:type="gramStart"/>
      <w:r w:rsidRPr="00981C33">
        <w:rPr>
          <w:rFonts w:ascii="Times New Roman" w:hAnsi="Times New Roman"/>
          <w:sz w:val="28"/>
          <w:szCs w:val="28"/>
        </w:rPr>
        <w:t>однолинейные схемы электроснабжения</w:t>
      </w:r>
      <w:proofErr w:type="gramEnd"/>
      <w:r w:rsidRPr="00981C33">
        <w:rPr>
          <w:rFonts w:ascii="Times New Roman" w:hAnsi="Times New Roman"/>
          <w:sz w:val="28"/>
          <w:szCs w:val="28"/>
        </w:rPr>
        <w:t xml:space="preserve"> в которых вход и выход ИБП соединены между собой. Такое соединение недопустимо т.к. противоречит принципам автономной работы источника.</w:t>
      </w:r>
    </w:p>
    <w:p w:rsid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Время работы дизель/</w:t>
      </w:r>
      <w:proofErr w:type="spellStart"/>
      <w:r w:rsidRPr="00981C33">
        <w:rPr>
          <w:rFonts w:ascii="Times New Roman" w:hAnsi="Times New Roman"/>
          <w:sz w:val="28"/>
          <w:szCs w:val="28"/>
        </w:rPr>
        <w:t>бензо</w:t>
      </w:r>
      <w:proofErr w:type="spellEnd"/>
      <w:r w:rsidRPr="00981C33">
        <w:rPr>
          <w:rFonts w:ascii="Times New Roman" w:hAnsi="Times New Roman"/>
          <w:sz w:val="28"/>
          <w:szCs w:val="28"/>
        </w:rPr>
        <w:t>-генератора определяется емкостью топливного бака и техническим циклом. Генератор может поддерживать работу учреждения в течении нескольких суток. В то же время генератор требует специальное помещение (контейнер), систему вентиляции, систему подогрева, трубу для отвода выхлопа, пожарную сигнализацию, экологический раздел в проекте. Дизель/</w:t>
      </w:r>
      <w:proofErr w:type="spellStart"/>
      <w:r w:rsidRPr="00981C33">
        <w:rPr>
          <w:rFonts w:ascii="Times New Roman" w:hAnsi="Times New Roman"/>
          <w:sz w:val="28"/>
          <w:szCs w:val="28"/>
        </w:rPr>
        <w:t>бензо</w:t>
      </w:r>
      <w:proofErr w:type="spellEnd"/>
      <w:r w:rsidRPr="00981C33">
        <w:rPr>
          <w:rFonts w:ascii="Times New Roman" w:hAnsi="Times New Roman"/>
          <w:sz w:val="28"/>
          <w:szCs w:val="28"/>
        </w:rPr>
        <w:t>-генераторы большинства производителей не имеют в конструкции защитных автоматов, рубильников с плавкими вставками и исполнительного контактора. Более того, даже у европейских производителей не всегда встречается система контроля выходного напряжения. Таким образом, 60-ти секундную задержку, подключение и отключение линии ДГУ необходимо проектировать в панели автоматики генератора, либо в щите АВР.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ЗАЩИТНОЕ ЗАЗЕМЛЕНИЕ И СИСТЕМА УРАВНИВАНИЯ ПОТЕНЦИАЛОВ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Определения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Национальные и международные стандарты четко определяют различные элементы заземляющих соединений. Следующие термины общеприняты в промышленности и литературе.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1. Заземляющий проводник - Защитный проводник, соединяющий основной заземляющий зажим установки с заземляющим электродом или другим средством заземления.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2. Открытая проводящая часть: Проводящая часть оборудования, которая не находится под напряжением при нормальных условиях, но может быть под напряжением при повреждении.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3. Защитный проводник - Проводник, используемый для средств защиты от поражения электрическим током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4. Проводник выравнивания потенциалов: защитный проводник, обеспечивающий эквипотенциальное соединение.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5. Главная заземляющая шина или зажим: шина или зажим для соединения защитных проводников, включая проводники выравнивания потенциалов и проводники для рабочего заземления, при их наличии, со средствами заземления.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lastRenderedPageBreak/>
        <w:t>Защитное заземление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Операционные помещения должны иметь защитную заземляющую шину из меди сечением не менее 80 мм2, либо из другого металла с эквивалентным по проводимости сечением.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Операционный стол, наркозный аппарат и вся электромедицинская аппаратура, выполненная по 01 и 1 классам электробезопасности, должны быть соединены с защитной шиной защитными проводниками.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Сечение защитных проводников (по меди) должно быть не менее значений, указанных в таблице: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 </w:t>
      </w:r>
      <w:r w:rsidRPr="00981C33">
        <w:rPr>
          <w:rFonts w:ascii="Times New Roman" w:hAnsi="Times New Roman"/>
          <w:sz w:val="28"/>
          <w:szCs w:val="28"/>
        </w:rPr>
        <w:drawing>
          <wp:inline distT="0" distB="0" distL="0" distR="0" wp14:anchorId="39CEF911" wp14:editId="6E22781F">
            <wp:extent cx="5553075" cy="2085975"/>
            <wp:effectExtent l="0" t="0" r="9525" b="9525"/>
            <wp:docPr id="1" name="Рисунок 9" descr="Энергозащитные системы. Рекомендаци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Энергозащитные системы. Рекомендации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30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Минимальное сечение защитного проводника по меди, должно быть не менее: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- 2,5 мм2 имеющего механическую защиту,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- 4 мм2 не имеющего механической защиты.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Все штепсельные розетки в операционной должны быть с заземляющими контактами. От защитной заземляющей шины к заземляющим контактам штепсельных розеток должны быть проложены медные проводники сечением не менее 2,5 мм2.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Система уравнивание потенциалов в медицинских помещениях Гр 2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Уравнивание потенциалов - электрическое соединение проводящих частей с помощью защитных проводников для достижения равенства их потенциалов.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 операционных должна быть установлена система уравнивания потенциалов (СУП), которая служит для создания одинакового потенциала всех металлических частей и конструкций, доступных для прикосновения. В дополнение к защитной заземляющей шине необходимо установить медную шину выравнивания потенциалов сечением не менее 80 мм2 или из другого материала, но с эквивалентным по проводимости сечением.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Шина выравнивания потенциалов должна быть кратчайшим путем соединена с защитной заземляющей шиной медным проводником сечением не менее 16 мм2.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lastRenderedPageBreak/>
        <w:t>Шину выравнивания потенциалов следует устанавливать в той части помещения, которая не охвачена шиной защитного заземления. При расположении заземляющей шины по всему периметру операционной отдельную шину выравнивания потенциалов предусматривать не следует.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Шину защитного заземления (выравнивания потенциалов) следует устанавливать на стенах на высоте 100-150 мм от пола, при этом следует добиваться плотного прилегания шины к стене.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В систему уравнивания потенциалов необходимо включать все металлические (проводящие) конструкции, доступные для прикосновения, которые могут оказаться под напряжением или могут вводить напряжение в медицинские помещения. СУП включает в себя специальные проводники, металлические оболочки кабелей, трубопроводы медицинских газов, металлические </w:t>
      </w:r>
      <w:proofErr w:type="spellStart"/>
      <w:r w:rsidRPr="00981C33">
        <w:rPr>
          <w:rFonts w:ascii="Times New Roman" w:hAnsi="Times New Roman"/>
          <w:sz w:val="28"/>
          <w:szCs w:val="28"/>
        </w:rPr>
        <w:t>кабелепроводы</w:t>
      </w:r>
      <w:proofErr w:type="spellEnd"/>
      <w:r w:rsidRPr="00981C33">
        <w:rPr>
          <w:rFonts w:ascii="Times New Roman" w:hAnsi="Times New Roman"/>
          <w:sz w:val="28"/>
          <w:szCs w:val="28"/>
        </w:rPr>
        <w:t>, специальные металлические сетки, смонтированные в полу каждого этажа здания и т.д.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Система уравнивания потенциалов должна быть соединена с главной заземляющей шиной (ГЗШ).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 каждом медицинском помещении Гр1 или Гр2 должна быть выполнена система дополнительного уравнивания потенциалов для уравнивания электрических потенциалов следующих частей электрооборудования, относящегося к «окружению пациента»: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защитные проводники;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сторонние проводящие части;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экраны от внешних электрических полей (если установлены);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сетки токопроводящих полов (если установлены);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- металлические оболочки разделительных трансформаторов (если имеются).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Для медицинских помещений Гр2 электрическое сопротивление проводников, включая сопротивление соединений между зажимами защитного проводника штепсельных розеток, стационарного оборудования или любых сторонних проводящих частей и шины уравнивания потенциалов не должно превышать 0,2 Ом.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Шины уравнивания потенциалов должны быть расположены в самом медицинском помещении или в непосредственной близости от него. В каждом распределительном шкафу или в непосредственной близости от него должна быть расположена шина системы дополнительного уравнивания потенциалов, к которой подключают проводники дополнительного уравнивания потенциалов и защитные проводники.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Все соединения должны быть выполнены так, чтобы они были хорошо различимы и предусматривали возможность индивидуального отключения (сварка и пайка не рекомендуется). Для подключения к шине защитного заземления могут быть использованы специальные розетки или щитки заземления.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lastRenderedPageBreak/>
        <w:t>Функциональное (технологическое) заземление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Для подключения аппаратуры предусматривается функциональное (технологическое) заземление, которое должно быть соединено с главной заземляющей шиной (ГЗШ). К линии функционального заземления подключаются розетки и щитки заземления, которые в свою очередь предназначены для внешнего подключения передвижных приборов, электрооборудования и металлоконструкций к линии функционального заземления.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ЭЛЕКТРОЩИТКИ ДЛЯ ОПЕРАЦИОННЫХ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Согласно РТМ-42-2-4-80 </w:t>
      </w:r>
      <w:proofErr w:type="gramStart"/>
      <w:r w:rsidRPr="00981C33">
        <w:rPr>
          <w:rFonts w:ascii="Times New Roman" w:hAnsi="Times New Roman"/>
          <w:sz w:val="28"/>
          <w:szCs w:val="28"/>
        </w:rPr>
        <w:t>« ...</w:t>
      </w:r>
      <w:proofErr w:type="gramEnd"/>
      <w:r w:rsidRPr="00981C33">
        <w:rPr>
          <w:rFonts w:ascii="Times New Roman" w:hAnsi="Times New Roman"/>
          <w:sz w:val="28"/>
          <w:szCs w:val="28"/>
        </w:rPr>
        <w:t xml:space="preserve"> В помещениях операционных должно быть установлено по два </w:t>
      </w:r>
      <w:proofErr w:type="spellStart"/>
      <w:r w:rsidRPr="00981C33">
        <w:rPr>
          <w:rFonts w:ascii="Times New Roman" w:hAnsi="Times New Roman"/>
          <w:sz w:val="28"/>
          <w:szCs w:val="28"/>
        </w:rPr>
        <w:t>электрощитка</w:t>
      </w:r>
      <w:proofErr w:type="spellEnd"/>
      <w:r w:rsidRPr="00981C33">
        <w:rPr>
          <w:rFonts w:ascii="Times New Roman" w:hAnsi="Times New Roman"/>
          <w:sz w:val="28"/>
          <w:szCs w:val="28"/>
        </w:rPr>
        <w:t xml:space="preserve"> на каждый операционный стол с комплектом розеток с заземляющими контактами. Щитки должны подключаться к вторичной обмотке разделительного трансформатора и устанавливаться на стенах на высоте 1,6 м от пола до низа </w:t>
      </w:r>
      <w:proofErr w:type="spellStart"/>
      <w:r w:rsidRPr="00981C33">
        <w:rPr>
          <w:rFonts w:ascii="Times New Roman" w:hAnsi="Times New Roman"/>
          <w:sz w:val="28"/>
          <w:szCs w:val="28"/>
        </w:rPr>
        <w:t>электрощитка</w:t>
      </w:r>
      <w:proofErr w:type="spellEnd"/>
      <w:r w:rsidRPr="00981C33">
        <w:rPr>
          <w:rFonts w:ascii="Times New Roman" w:hAnsi="Times New Roman"/>
          <w:sz w:val="28"/>
          <w:szCs w:val="28"/>
        </w:rPr>
        <w:t>...»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Типовой </w:t>
      </w:r>
      <w:proofErr w:type="spellStart"/>
      <w:r w:rsidRPr="00981C33">
        <w:rPr>
          <w:rFonts w:ascii="Times New Roman" w:hAnsi="Times New Roman"/>
          <w:sz w:val="28"/>
          <w:szCs w:val="28"/>
        </w:rPr>
        <w:t>электрощиток</w:t>
      </w:r>
      <w:proofErr w:type="spellEnd"/>
      <w:r w:rsidRPr="00981C33">
        <w:rPr>
          <w:rFonts w:ascii="Times New Roman" w:hAnsi="Times New Roman"/>
          <w:sz w:val="28"/>
          <w:szCs w:val="28"/>
        </w:rPr>
        <w:t xml:space="preserve"> представляет собой пластиковый щиток со степенью защиты IP 54, с евро-розетками, автоматическими выключателями, индикацией наличия питания. </w:t>
      </w:r>
      <w:proofErr w:type="spellStart"/>
      <w:r w:rsidRPr="00981C33">
        <w:rPr>
          <w:rFonts w:ascii="Times New Roman" w:hAnsi="Times New Roman"/>
          <w:sz w:val="28"/>
          <w:szCs w:val="28"/>
        </w:rPr>
        <w:t>Электрощиток</w:t>
      </w:r>
      <w:proofErr w:type="spellEnd"/>
      <w:r w:rsidRPr="00981C33">
        <w:rPr>
          <w:rFonts w:ascii="Times New Roman" w:hAnsi="Times New Roman"/>
          <w:sz w:val="28"/>
          <w:szCs w:val="28"/>
        </w:rPr>
        <w:t xml:space="preserve"> должен иметь дополнительно контакт заземления для подключения его к линии функционального (технологического) заземления.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>Согласно ГОСТ 50571.28-2006 «...Для каждого места лечения пациентов, например в изголовье коек ... должно быть установлено не менее двух розеток ... должна быть обеспечена индивидуальная защита от сверхтока для каждой розетки...». Согласно требованиям СанПиН 5179-90, в операционных, реанимационных отделениях, палатах интенсивной терапии должна проводиться регулярная антисептическая обработка помещения и оборудования.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Типовой </w:t>
      </w:r>
      <w:proofErr w:type="spellStart"/>
      <w:r w:rsidRPr="00981C33">
        <w:rPr>
          <w:rFonts w:ascii="Times New Roman" w:hAnsi="Times New Roman"/>
          <w:sz w:val="28"/>
          <w:szCs w:val="28"/>
        </w:rPr>
        <w:t>электрощиток</w:t>
      </w:r>
      <w:proofErr w:type="spellEnd"/>
      <w:r w:rsidRPr="00981C33">
        <w:rPr>
          <w:rFonts w:ascii="Times New Roman" w:hAnsi="Times New Roman"/>
          <w:sz w:val="28"/>
          <w:szCs w:val="28"/>
        </w:rPr>
        <w:t xml:space="preserve"> для подключения мест лечения пациента в медицинских помещениях второй группы согласно требованиям ГОСТ 50571.28-2006 представляет собой щит исполнения IP54, с двумя евро-розетками, автоматическими выключателями и светодиодной индикацией наличия питания на каждой из розеток. Щиток выпускается в наружном и встроенном исполнениях.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lastRenderedPageBreak/>
        <w:t> </w:t>
      </w:r>
      <w:r w:rsidRPr="00981C33">
        <w:rPr>
          <w:rFonts w:ascii="Times New Roman" w:hAnsi="Times New Roman"/>
          <w:sz w:val="28"/>
          <w:szCs w:val="28"/>
        </w:rPr>
        <w:drawing>
          <wp:inline distT="0" distB="0" distL="0" distR="0" wp14:anchorId="5435DEC3" wp14:editId="0DDD2F05">
            <wp:extent cx="6343650" cy="3724275"/>
            <wp:effectExtent l="0" t="0" r="0" b="9525"/>
            <wp:docPr id="2" name="Рисунок 8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372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C33" w:rsidRDefault="00981C33" w:rsidP="00981C33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Рис. 1</w:t>
      </w:r>
      <w:r w:rsidRPr="00981C33">
        <w:rPr>
          <w:rFonts w:ascii="Times New Roman" w:hAnsi="Times New Roman"/>
          <w:sz w:val="28"/>
          <w:szCs w:val="28"/>
        </w:rPr>
        <w:t>. Вариант организации медицинской IT-сети для питания операционной согласно ГОСТ 50571.28-2006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 рис.1</w:t>
      </w:r>
      <w:r w:rsidRPr="00981C33">
        <w:rPr>
          <w:rFonts w:ascii="Times New Roman" w:hAnsi="Times New Roman"/>
          <w:sz w:val="28"/>
          <w:szCs w:val="28"/>
        </w:rPr>
        <w:t xml:space="preserve"> всё оборудование операционной подключается к общей системе уравнивания потенциалов согласно требованиям ГОСТ 50571.28-2006.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В то же время, инструкция РТМ-42-2-4-80 требует: </w:t>
      </w:r>
      <w:proofErr w:type="gramStart"/>
      <w:r w:rsidRPr="00981C33">
        <w:rPr>
          <w:rFonts w:ascii="Times New Roman" w:hAnsi="Times New Roman"/>
          <w:sz w:val="28"/>
          <w:szCs w:val="28"/>
        </w:rPr>
        <w:t>« ...</w:t>
      </w:r>
      <w:proofErr w:type="gramEnd"/>
      <w:r w:rsidRPr="00981C33">
        <w:rPr>
          <w:rFonts w:ascii="Times New Roman" w:hAnsi="Times New Roman"/>
          <w:sz w:val="28"/>
          <w:szCs w:val="28"/>
        </w:rPr>
        <w:t xml:space="preserve"> Для подключения аппаратуры предусматривается функциональное (технологическое) заземление, которое должно быть соединено с главной заземляющей шиной (ГЗШ). К линии функционального заземления подключаются розетки и щитки заземления, которые в свою очередь предназначены для внешнего подключения передвижных приборов, электрооборудования и металлоконструкций к линии функционального заземления...». Медицинская IT-сеть с технологическим заземлением щитков и розеток заземления согласно требованиям РТМ-42-2-4-80 представлена на рис. 5.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lastRenderedPageBreak/>
        <w:t> </w:t>
      </w:r>
      <w:r w:rsidRPr="00981C33">
        <w:rPr>
          <w:rFonts w:ascii="Times New Roman" w:hAnsi="Times New Roman"/>
          <w:sz w:val="28"/>
          <w:szCs w:val="28"/>
        </w:rPr>
        <w:drawing>
          <wp:inline distT="0" distB="0" distL="0" distR="0" wp14:anchorId="31AFB3A9" wp14:editId="0ADF86D3">
            <wp:extent cx="6457950" cy="3952875"/>
            <wp:effectExtent l="0" t="0" r="0" b="9525"/>
            <wp:docPr id="3" name="Рисунок 7" descr="Энергосберегающие системы. Рекомендаци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Энергосберегающие системы. Рекомендаци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95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Рис. 2</w:t>
      </w:r>
      <w:r w:rsidRPr="00981C33">
        <w:rPr>
          <w:rFonts w:ascii="Times New Roman" w:hAnsi="Times New Roman"/>
          <w:sz w:val="28"/>
          <w:szCs w:val="28"/>
        </w:rPr>
        <w:t>. Вариант организации медицинской IT-сети для питания операционной с технологическим заземлением щитков согласно РТМ-42-2-4-80</w:t>
      </w:r>
    </w:p>
    <w:p w:rsidR="00981C33" w:rsidRPr="00981C33" w:rsidRDefault="00981C33" w:rsidP="00981C33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981C33">
        <w:rPr>
          <w:rFonts w:ascii="Times New Roman" w:hAnsi="Times New Roman"/>
          <w:sz w:val="28"/>
          <w:szCs w:val="28"/>
        </w:rPr>
        <w:t xml:space="preserve">Из рис. </w:t>
      </w:r>
      <w:r>
        <w:rPr>
          <w:rFonts w:ascii="Times New Roman" w:hAnsi="Times New Roman"/>
          <w:sz w:val="28"/>
          <w:szCs w:val="28"/>
        </w:rPr>
        <w:t>2</w:t>
      </w:r>
      <w:r w:rsidRPr="00981C33">
        <w:rPr>
          <w:rFonts w:ascii="Times New Roman" w:hAnsi="Times New Roman"/>
          <w:sz w:val="28"/>
          <w:szCs w:val="28"/>
        </w:rPr>
        <w:t xml:space="preserve"> видно, что, в случае аварии электрической сети до медицинского разделительного трансформатора и протекания значительных токов в РЕ2, возникает значительная разность потенциалов между оборудованием, подключенным к PE2, и оборудованием, подключенным к PE1. Это представляет существенную опасность для персонала и пациента. Для предотвращения подобной ситуации мы рекомендуем подключение контура защитного заземления операционной (PE1) к технологическому заземлению (PE2) медным проводником сечением не менее 16 мм2 либо вообще не применять технологическое заземление и опираться исключительно на требования ГОСТ 50571.28-2006 (рис. 4).</w:t>
      </w:r>
      <w:bookmarkStart w:id="0" w:name="_GoBack"/>
      <w:bookmarkEnd w:id="0"/>
    </w:p>
    <w:sectPr w:rsidR="00981C33" w:rsidRPr="00981C33" w:rsidSect="00981C33">
      <w:pgSz w:w="12240" w:h="15840"/>
      <w:pgMar w:top="1134" w:right="1134" w:bottom="1134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15E"/>
    <w:rsid w:val="00107F33"/>
    <w:rsid w:val="0061515E"/>
    <w:rsid w:val="00981C33"/>
    <w:rsid w:val="00CF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3DB95D-6A07-481F-B4F7-5E67712EA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C33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886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2105</Words>
  <Characters>11999</Characters>
  <Application>Microsoft Office Word</Application>
  <DocSecurity>0</DocSecurity>
  <Lines>99</Lines>
  <Paragraphs>28</Paragraphs>
  <ScaleCrop>false</ScaleCrop>
  <Company>SPecialiST RePack</Company>
  <LinksUpToDate>false</LinksUpToDate>
  <CharactersWithSpaces>14076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2023-03-20T04:53:00Z</dcterms:created>
  <dcterms:modified xsi:type="dcterms:W3CDTF">2023-03-20T04:57:00Z</dcterms:modified>
</cp:coreProperties>
</file>